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1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учета бюджетных и денежных  обязательств получателей средств </w:t>
      </w:r>
      <w:r w:rsidR="006E4F6E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</w:t>
      </w: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бюджетном обязательстве</w:t>
      </w: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5"/>
        <w:gridCol w:w="5102"/>
      </w:tblGrid>
      <w:tr w:rsidR="00E61E96" w:rsidRPr="00E25C6D">
        <w:trPr>
          <w:trHeight w:val="1"/>
        </w:trPr>
        <w:tc>
          <w:tcPr>
            <w:tcW w:w="9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реквизита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E61E96" w:rsidRPr="00E25C6D">
        <w:trPr>
          <w:trHeight w:val="2805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бюджетном обязательстве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органа Федерального казначейства (далее - информационная система) номер Сведений о бюджетном обязательстве присваивается автоматически в информационной системе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бюджетном обязательстве получателем бюджетных средств.</w:t>
            </w:r>
          </w:p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бюджетном обязательстве в форме электронного документа в информационной системе дата Сведений о бюджетном обязательстве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автоматически после подписания документа электронной подписью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информационной системе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– «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 Код </w:t>
            </w:r>
            <w:hyperlink r:id="rId5">
              <w:r w:rsidRPr="00E10120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24A87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6">
              <w:r w:rsidRPr="00E10120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территориального органа Федерального казначейства, финансового органа </w:t>
            </w:r>
            <w:r w:rsidR="00A24A8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 финансового органа – «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 Код по ОКПО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6E4F6E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со Сводным реестром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6E4F6E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главного распорядителя средств бюджета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в соответствии со Сводным реестром.</w:t>
            </w:r>
          </w:p>
        </w:tc>
      </w:tr>
      <w:tr w:rsidR="00E61E96" w:rsidRPr="00E25C6D">
        <w:trPr>
          <w:trHeight w:val="1"/>
        </w:trPr>
        <w:tc>
          <w:tcPr>
            <w:tcW w:w="906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1"/>
            </w:pP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 Глава по БК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главы главного распорядителя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бюджетной классификации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органа Федерального казначейства, в котором получателю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 – соответствующий лицевой счет получателя бюджетных средств)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одно из следующих значений: «контракт», «договор», «соглашение», «нормативный правовой акт», «исполнительный документ», «решение налогового органа», «извещение об осуществлении закупки», «приглашение принять участие в определении поставщика (подрядчика, исполнителя)», «иное основание»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6.1 настоящей информации значения «нормативный правовой акт» указывается наименование нормативного правового акта.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</w:tc>
      </w:tr>
      <w:tr w:rsidR="00E61E96" w:rsidRPr="00E25C6D">
        <w:trPr>
          <w:trHeight w:val="1"/>
        </w:trPr>
        <w:tc>
          <w:tcPr>
            <w:tcW w:w="906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1"/>
            </w:pP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6.1 настоящей информации значения «контракт», «договор», «извещение об осуществлении закупки», «приглашение принять участие в определении поставщика (подрядчика, исполнителя)»,  указывается наименовани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(договоре), «извещении об осуществлении закупки», «приглашении принять участие в определении поставщика (подрядчика, исполнителя)».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6.1 настоящей информации значения «соглашение» или «нормативный правовой акт» указывается наименовани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 Признак казначейского сопровождения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казначейского сопровождения «Да» - в случае осуществления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остальных случаях не заполняется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 Идентификатор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при заполнении «Да» в пункте 6.7.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незаполнении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6.7 идентификатор указывается при наличии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заполняется при постановке на учет бюджетного обязательства, сведения о котором направляются в орган Федерального казначейства одновременно с информацией о муниципальном контракте, соглашении для ее первичного включения в реестр контрактов/реестр соглашений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6.10. Сумма в валюте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документом-основанием сумма не определена, указывается сумма, рассчитанная получателем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приложением соответствующего расчета.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Код валюты по </w:t>
            </w:r>
            <w:hyperlink r:id="rId7">
              <w:r w:rsidRPr="00E10120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8">
              <w:r w:rsidRPr="004628FD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9">
              <w:r w:rsidRPr="004628FD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4628F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алют.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заключения муниципального контракта (договора) указывается код валюты, в которой указывается цена контракта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6.4 настоящей информации.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6.10 и 6.11 настоящей информации.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документ-основание.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6.1 настоящей информации значений «исполнительный документ» или «решение налогового органа» указывается номер уведомления  о поступлении исполнительного документа (решения налогового органа), направленного должнику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6.1 настоящей информации значений «исполнительный документ» или «решение налогового органа» указывается дата уведомления о поступлении исполнительного документа (решения налогового органа), направленного должнику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4628F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6.18. Основание не включения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(муниципального контракта) в реестр контрактов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заполнении в пункте 6.1 настоящей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значения «договор» указывается основание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(контракта) в реестр контрактов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КПП контрагента в соответствии со сведениями ЕГРЮЛ (при наличии).</w:t>
            </w:r>
          </w:p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реестру контрагента указывается автоматически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случае наличия информации о нем в Сводном реестре в соответствии с ИНН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КПП контрагента, указанным в пунктах 7.2 и 7.3 настоящей информации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 Номер лицевого счета (раздела на лицевом счете)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указывается номер лицевого счета контрагента в соответствии с документом-основанием.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номер раздела на лицевом счете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номер банковского (казначейского) счета контрагента (при наличии в документе-основании)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 Наименование банка (иной организации), в которо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-ой) открыт счет контрагенту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банка контрагента или органа Федерального казначейства (при наличии в документе-основании)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 БИК банка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8.1. Наименование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8.2. Уникальный код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(при наличии)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 Наименование вида средств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 Код по БК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предметом документа-основания.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информации, представленной должником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 Признак безусловности обязательства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«безусловное» по бюджетному обязательству, денежное обязательство по которому возникает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 месяца, в котором будет осуществлен платеж.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с помесячной разбивкой текущего года исполнения контракта.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исполнительного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документа/решения налогового органа, указывается сумма на основании информации, представленной должником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по муниципальному контракту (договору) в валюте Российской Федерации с годовой периодичностью.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</w:t>
            </w:r>
          </w:p>
          <w:p w:rsidR="00E61E96" w:rsidRPr="00E25C6D" w:rsidRDefault="00E61E96">
            <w:pPr>
              <w:ind w:firstLine="283"/>
              <w:jc w:val="both"/>
            </w:pP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 Примечание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на учет</w:t>
            </w:r>
          </w:p>
        </w:tc>
      </w:tr>
    </w:tbl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учета бюджетных и денежных обязательств получателей средств </w:t>
      </w:r>
      <w:r w:rsidR="006E4F6E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</w:t>
      </w: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денежном обязательстве</w:t>
      </w: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5"/>
        <w:gridCol w:w="5049"/>
      </w:tblGrid>
      <w:tr w:rsidR="00E61E96" w:rsidRPr="00E25C6D">
        <w:trPr>
          <w:trHeight w:val="1"/>
        </w:trPr>
        <w:tc>
          <w:tcPr>
            <w:tcW w:w="901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денежном обязательстве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информационной системе органа Федерального казначейства (далее - информационная система) номер Сведений о денежном обязательстве присваивается автоматически в информационной системе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информационной системе дата Сведений о денежном обязательстве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проставляется автоматически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 в информационной системе заполняется автоматически при указании учетного номера денежного обязательства, в которое вносятся изменения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Уникальный код объекта капитального строительства или объекта недвижимого имущества 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(при наличии)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Информация о получателе бюджетных средств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Получатель бюджетных средств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6E4F6E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Код получателя бюджетных средств по Сводному реестру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Номер лицевого счета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соответствующего лицевого счета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6E4F6E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Сводного реестра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Глава по БК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глава главного распорядителя средств 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 по бюджетной классификации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 Наименование бюджета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– «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информационной системе заполняется автоматически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Код </w:t>
            </w:r>
            <w:hyperlink r:id="rId10">
              <w:r w:rsidRPr="004628FD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24A87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11">
              <w:r w:rsidRPr="004628FD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</w:t>
            </w:r>
            <w:r w:rsidR="000B20C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 Финансовый орган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 – «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денежном обязательстве в форме электронного документа в информационной системе заполняется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автоматически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6.9. Код по ОКПО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 Территориальный орган Федерального казначейства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6.11. Код органа Федерального казначейства (далее - КОФК)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органа Федерального казначейства, в котором получателю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 соответствующий лицевой счет получателя бюджетных средств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6.12. Признак платежа, требующего подтверждения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платежа, требующего подтверждения. По платежам, требующим подтверждения, указывается «Да», если платеж не требует подтверждения, указывается «Нет»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 Вид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Номер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 Дата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в валюте выплаты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 Предмет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 Наименование вида средств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налогового органа, указывается на основании информации, представленной должником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 Код по бюджетной классификации (далее - Код по БК)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 соответствии с предметом документа-основания.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информации, представленной должником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7.8. Аналитический код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в дополнение к коду по бюджетной классификации плательщика 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 Сумма в рублевом эквиваленте всего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курсу Центрального банка Российской Федерации на дату, указанную в пункте 7.3 настоящей информации.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E61E96" w:rsidRPr="00E25C6D" w:rsidRDefault="00E61E96">
            <w:pPr>
              <w:ind w:firstLine="283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</w:t>
            </w:r>
            <w:proofErr w:type="gramEnd"/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7.10. Код валюты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12">
              <w:r w:rsidRPr="001B5BC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7.11. в том числе перечислено средств, требующих подтверждения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сумма ранее произведенного в рамках соответствующего 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«Признак платежа, требующего подтверждения» указано «Да»</w:t>
            </w:r>
          </w:p>
        </w:tc>
      </w:tr>
      <w:tr w:rsidR="00E61E96" w:rsidRPr="00E25C6D">
        <w:trPr>
          <w:trHeight w:val="1"/>
        </w:trPr>
        <w:tc>
          <w:tcPr>
            <w:tcW w:w="39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7.12. Срок исполнения</w:t>
            </w:r>
          </w:p>
        </w:tc>
        <w:tc>
          <w:tcPr>
            <w:tcW w:w="50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планируемый срок осуществления кассовой выплаты по денежному обязательству</w:t>
            </w:r>
          </w:p>
        </w:tc>
      </w:tr>
    </w:tbl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6E4F6E" w:rsidRDefault="006E4F6E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учета бюджетных и денежных обязательств получателей средств </w:t>
      </w:r>
      <w:r w:rsidR="006E4F6E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1E96" w:rsidRDefault="00E61E96">
      <w:pPr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both"/>
        <w:rPr>
          <w:rFonts w:ascii="Tahoma" w:hAnsi="Tahoma" w:cs="Tahoma"/>
          <w:sz w:val="20"/>
          <w:szCs w:val="20"/>
        </w:rPr>
      </w:pP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документов, на основании которых возникают бюджетные обязательства получателей средств </w:t>
      </w:r>
      <w:r w:rsidR="006E4F6E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    и документов, подтверждающих возникновение денежных обязательств получателей средств </w:t>
      </w:r>
      <w:r w:rsidR="006E4F6E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E4F6E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6E4F6E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1E96" w:rsidRDefault="00E61E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1E96" w:rsidRDefault="00E61E96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3605"/>
        <w:gridCol w:w="4757"/>
      </w:tblGrid>
      <w:tr w:rsidR="00E61E96" w:rsidRPr="00E25C6D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(договор) на поставку товаров, выполнение работ, оказание услуг для обеспечения  нужд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сведения о котором подлежат включению в реестр контрактов, за исключением муниципальных контрактов, указанных в  пункте 13 настоящего перечня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(в случае осуществления авансовых платежей в соответствии с условиями муниципального контракта, внесение арендной платы по муниципальному контракту)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13">
              <w:r w:rsidRPr="00147F44">
                <w:rPr>
                  <w:rFonts w:ascii="Times New Roman" w:hAnsi="Times New Roman" w:cs="Times New Roman"/>
                  <w:sz w:val="24"/>
                  <w:szCs w:val="24"/>
                </w:rPr>
                <w:t>форма N ТОРГ-12</w:t>
              </w:r>
            </w:hyperlink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ф. 0330212)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муниципального контракта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 нужд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 исключением договоров, указанных в  пункте 13 настоящего перечня</w:t>
            </w:r>
            <w:proofErr w:type="gramEnd"/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14">
              <w:r w:rsidRPr="00147F44">
                <w:rPr>
                  <w:rFonts w:ascii="Times New Roman" w:hAnsi="Times New Roman" w:cs="Times New Roman"/>
                  <w:sz w:val="24"/>
                  <w:szCs w:val="24"/>
                </w:rPr>
                <w:t>форма N ТОРГ-12</w:t>
              </w:r>
            </w:hyperlink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 0330212)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</w:t>
            </w:r>
          </w:p>
        </w:tc>
      </w:tr>
      <w:tr w:rsidR="00E61E96" w:rsidRPr="00E25C6D">
        <w:trPr>
          <w:trHeight w:val="24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78318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из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A449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межбюджетного трансферта в форме субсидии, субвенции, иного межбюджетного трансферта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о совершении казначейских платежей (далее - распоряжение), необходимое для оплаты денежных обязательств, и документ, подтверждающий возникновение денежных обязательств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источником финансового обеспечения которых являются межбюджетные трансферты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соглашения о предоставлении межбюджетного трансферта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5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ОКУД 05061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осуществление расходов бюджета сельского поселения по исполнению расходных обязательств местного бюджета,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возмещения которых из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предоставляются межбюджетные трансферты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расходы), иные документы, подтверждающие размер и факт поставки товаров, выполнения работ, оказания услуг на сумму целевых расходов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4492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предусматривающий предоставление из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бюджет</w:t>
            </w:r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межбюджетного трансферта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о перечислении межбюджетного трансферта из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бюджету сельского поселения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Распоряжение, необходимое для оплаты денежных обязательств, и документ, подтверждающий возникновение денежных обязательств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источником финансового обеспечения которых являются межбюджетные трансферты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6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ОКУД 0506110)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бюджетному или автономному учреждению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 перечисления субсидии, предусмотренный договором (соглашением) о предоставлении субсидии бюджетному или автономному учреждению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Предварительный отчет о выполнении государственного задания </w:t>
            </w:r>
            <w:hyperlink r:id="rId17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0506501)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8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ОКУД 0506110)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возникшему на основании договора (соглашения) о предоставлении субсидии бюджетному или автономному учреждению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 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юридическому лицу, иному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юридическому лицу (за исключением субсидии бюджетному или автономному учреждению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 юридическому лицу) 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выполненных работ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Товарная накладная (унифицированная </w:t>
            </w:r>
            <w:hyperlink r:id="rId19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форма N ТОРГ-12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E61E96" w:rsidRPr="00E25C6D" w:rsidRDefault="00E61E96">
            <w:pPr>
              <w:ind w:firstLine="28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20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ОКУД 0506110)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4492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юридического лица (в случае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E61E96" w:rsidRDefault="00E61E96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21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ОКУД 0506110)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4492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147F4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(Приказ) об утверждении Штатного расписания с расчетом годового фонда оплаты труда 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22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0504425)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Расчетно-платежная ведомость </w:t>
            </w:r>
            <w:hyperlink r:id="rId23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0504401)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Расчетная ведомость </w:t>
            </w:r>
            <w:hyperlink r:id="rId24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0504402)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A4492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по реализации трудовых функций работника в соответствии с трудовым законодательством Российской Федерации, законодательством о муниципальной гражданской службе Российской Федерации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справка </w:t>
            </w:r>
            <w:hyperlink r:id="rId25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0504833)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78318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исполнительного документа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Бухгалтерская справка </w:t>
            </w:r>
            <w:hyperlink r:id="rId26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0504833)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решения налогового органа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Документ, не определенный пунктами 3 - 12 настоящего перечня, в соответствии с которым возникает бюджетное обязательство получателя средств  </w:t>
            </w:r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61E96" w:rsidRDefault="00E61E9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организациями, обязательства по уплате взносов, безвозмездных перечислений субъектам международного права, обязательства, принятые в иностранной валюте и подлежащие оплате в иностранной валюте, а также обязательства по уплате платежей в бюджет (не требующие заключения договора);</w:t>
            </w:r>
            <w:proofErr w:type="gramEnd"/>
          </w:p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получателем средств  </w:t>
            </w:r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Авансовый отчет </w:t>
            </w:r>
            <w:hyperlink r:id="rId27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(ф. 0504505)</w:t>
              </w:r>
            </w:hyperlink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об оказании услуг 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 физическим лицом, не являющимся индивидуальным предпринимателем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суда о расторжении муниципального контракта (договора)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E61E96" w:rsidRPr="00E25C6D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E61E96" w:rsidRPr="00E25C6D" w:rsidTr="00843F74">
        <w:trPr>
          <w:trHeight w:val="1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/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2" w:type="dxa"/>
              <w:right w:w="62" w:type="dxa"/>
            </w:tcMar>
          </w:tcPr>
          <w:p w:rsidR="00E61E96" w:rsidRPr="00147F44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 xml:space="preserve">- Генеральные условия (условия), эмиссия и обращения муниципальных ценных бумаг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1E96" w:rsidRPr="00147F44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 xml:space="preserve">- договор на оказание услуг, выполнение работ, заключенный получателем средств 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физическим лицом, не являющимся индивидуальным предпринимателем;</w:t>
            </w:r>
          </w:p>
          <w:p w:rsidR="00E61E96" w:rsidRPr="00147F44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- акт сверки взаимных расчетов;</w:t>
            </w:r>
          </w:p>
          <w:p w:rsidR="00E61E96" w:rsidRPr="00147F44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- решение суда о расторжении муниципального контракта (договора);</w:t>
            </w:r>
          </w:p>
          <w:p w:rsidR="00E61E96" w:rsidRPr="00147F44" w:rsidRDefault="00E6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>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контрактов;</w:t>
            </w:r>
          </w:p>
          <w:p w:rsidR="00E61E96" w:rsidRPr="00147F44" w:rsidRDefault="00E61E96" w:rsidP="00147F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 xml:space="preserve"> - соглашение об оказании бесплатной юридической помощи адвокатами, являющимися участниками государственной системы бесплатной юридической помощи;</w:t>
            </w:r>
          </w:p>
          <w:p w:rsidR="00E61E96" w:rsidRPr="00147F44" w:rsidRDefault="00E61E96" w:rsidP="00147F4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843F74">
              <w:rPr>
                <w:rFonts w:ascii="Times New Roman" w:hAnsi="Times New Roman" w:cs="Times New Roman"/>
                <w:sz w:val="24"/>
                <w:szCs w:val="24"/>
              </w:rPr>
              <w:t xml:space="preserve">- контракт (договор) на оказание финансовых услуг по предоставлению кредитных ресурсов бюджету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843F74">
              <w:rPr>
                <w:rFonts w:ascii="Times New Roman" w:hAnsi="Times New Roman" w:cs="Times New Roman"/>
                <w:sz w:val="24"/>
                <w:szCs w:val="24"/>
              </w:rPr>
              <w:t xml:space="preserve">на  финансирование дефицита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43F74">
              <w:rPr>
                <w:rFonts w:ascii="Times New Roman" w:hAnsi="Times New Roman" w:cs="Times New Roman"/>
                <w:sz w:val="24"/>
                <w:szCs w:val="24"/>
              </w:rPr>
              <w:t xml:space="preserve"> и погашение долговых обязательств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A4492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A449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843F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1E96" w:rsidRPr="00147F44" w:rsidRDefault="00E61E96" w:rsidP="007D3FFF">
            <w:r w:rsidRPr="00147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Иной документ, в соответствии с которым возникает бюджетное обязательство получателя средств 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7F4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представляемый для    оплаты в иностранной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валюте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Товарная накладная (унифицированная </w:t>
            </w:r>
            <w:hyperlink r:id="rId28"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форма N ТОРГ-12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E61E96" w:rsidRPr="00E25C6D" w:rsidTr="00843F74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E61E96" w:rsidRPr="00E25C6D" w:rsidTr="00843F74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E61E96" w:rsidRPr="00E25C6D" w:rsidTr="00843F74">
        <w:trPr>
          <w:trHeight w:val="1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Default="00E61E96">
            <w:pPr>
              <w:spacing w:after="200" w:line="276" w:lineRule="auto"/>
            </w:pP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1E96" w:rsidRPr="00E25C6D" w:rsidRDefault="00E61E96" w:rsidP="0078318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6E4F6E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6E4F6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представляемый для оплаты в иностранной валюте</w:t>
            </w:r>
          </w:p>
        </w:tc>
      </w:tr>
    </w:tbl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1E96" w:rsidRDefault="00E61E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61E96" w:rsidSect="00BA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C2"/>
    <w:rsid w:val="00065755"/>
    <w:rsid w:val="00081FC4"/>
    <w:rsid w:val="000B20C6"/>
    <w:rsid w:val="000D1178"/>
    <w:rsid w:val="00147F44"/>
    <w:rsid w:val="001B5BC4"/>
    <w:rsid w:val="00371837"/>
    <w:rsid w:val="00451FEF"/>
    <w:rsid w:val="004628FD"/>
    <w:rsid w:val="00492E0A"/>
    <w:rsid w:val="004D23BC"/>
    <w:rsid w:val="006E4F6E"/>
    <w:rsid w:val="00746B64"/>
    <w:rsid w:val="0078318E"/>
    <w:rsid w:val="00785EB1"/>
    <w:rsid w:val="007D3FFF"/>
    <w:rsid w:val="007E6888"/>
    <w:rsid w:val="0082213D"/>
    <w:rsid w:val="00843F74"/>
    <w:rsid w:val="00A24A87"/>
    <w:rsid w:val="00A4035C"/>
    <w:rsid w:val="00A4492E"/>
    <w:rsid w:val="00A45871"/>
    <w:rsid w:val="00AA38EE"/>
    <w:rsid w:val="00AA3EE8"/>
    <w:rsid w:val="00BA6AB2"/>
    <w:rsid w:val="00BA77B5"/>
    <w:rsid w:val="00BB58F0"/>
    <w:rsid w:val="00BC49B0"/>
    <w:rsid w:val="00C338E7"/>
    <w:rsid w:val="00E10120"/>
    <w:rsid w:val="00E25C6D"/>
    <w:rsid w:val="00E52B1B"/>
    <w:rsid w:val="00E61E96"/>
    <w:rsid w:val="00E6778A"/>
    <w:rsid w:val="00E83BC2"/>
    <w:rsid w:val="00EC260A"/>
    <w:rsid w:val="00F5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8A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1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1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8A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1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1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62BE85D73C08BF6F168CE9A96A587288993474EB548F38045321315600B4EF5E9129563DA2A415C923D93D95u3aFI" TargetMode="External"/><Relationship Id="rId13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18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6" Type="http://schemas.openxmlformats.org/officeDocument/2006/relationships/hyperlink" Target="consultantplus://offline/ref=6362BE85D73C08BF6F168CE9A96A5872889B3E73EB538F38045321315600B4EF4C91715A3DA1B912CE368F6CD36B6404F191A70CE152FAD7u8a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7" Type="http://schemas.openxmlformats.org/officeDocument/2006/relationships/hyperlink" Target="consultantplus://offline/ref=6362BE85D73C08BF6F168CE9A96A587288993474EB548F38045321315600B4EF5E9129563DA2A415C923D93D95u3aFI" TargetMode="External"/><Relationship Id="rId12" Type="http://schemas.openxmlformats.org/officeDocument/2006/relationships/hyperlink" Target="consultantplus://offline/ref=6362BE85D73C08BF6F168CE9A96A587288993474EB548F38045321315600B4EF5E9129563DA2A415C923D93D95u3aFI" TargetMode="External"/><Relationship Id="rId17" Type="http://schemas.openxmlformats.org/officeDocument/2006/relationships/hyperlink" Target="consultantplus://offline/ref=6362BE85D73C08BF6F168CE9A96A587288953970EE508F38045321315600B4EF4C91715F3EA2B1409A798E30973F7705F291A40EFDu5a1I" TargetMode="External"/><Relationship Id="rId25" Type="http://schemas.openxmlformats.org/officeDocument/2006/relationships/hyperlink" Target="consultantplus://offline/ref=6362BE85D73C08BF6F168CE9A96A5872889B3E73EB538F38045321315600B4EF4C91715A3DA1B912CE368F6CD36B6404F191A70CE152FAD7u8a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0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62BE85D73C08BF6F168CE9A96A58728A99357CE8558F38045321315600B4EF5E9129563DA2A415C923D93D95u3aFI" TargetMode="External"/><Relationship Id="rId11" Type="http://schemas.openxmlformats.org/officeDocument/2006/relationships/hyperlink" Target="consultantplus://offline/ref=6362BE85D73C08BF6F168CE9A96A58728A99357CE8558F38045321315600B4EF5E9129563DA2A415C923D93D95u3aFI" TargetMode="External"/><Relationship Id="rId24" Type="http://schemas.openxmlformats.org/officeDocument/2006/relationships/hyperlink" Target="consultantplus://offline/ref=6362BE85D73C08BF6F168CE9A96A5872889B3E73EB538F38045321315600B4EF4C91715A3DA2BE13CC368F6CD36B6404F191A70CE152FAD7u8a6I" TargetMode="External"/><Relationship Id="rId5" Type="http://schemas.openxmlformats.org/officeDocument/2006/relationships/hyperlink" Target="consultantplus://offline/ref=6362BE85D73C08BF6F168CE9A96A58728A99357CE8558F38045321315600B4EF5E9129563DA2A415C923D93D95u3aFI" TargetMode="External"/><Relationship Id="rId15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3" Type="http://schemas.openxmlformats.org/officeDocument/2006/relationships/hyperlink" Target="consultantplus://offline/ref=6362BE85D73C08BF6F168CE9A96A5872889B3E73EB538F38045321315600B4EF4C91715A3DA2B913CF368F6CD36B6404F191A70CE152FAD7u8a6I" TargetMode="External"/><Relationship Id="rId28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10" Type="http://schemas.openxmlformats.org/officeDocument/2006/relationships/hyperlink" Target="consultantplus://offline/ref=6362BE85D73C08BF6F168CE9A96A58728A99357CE8558F38045321315600B4EF5E9129563DA2A415C923D93D95u3aFI" TargetMode="External"/><Relationship Id="rId19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62BE85D73C08BF6F168CE9A96A587288993474EB548F38045321315600B4EF5E9129563DA2A415C923D93D95u3aFI" TargetMode="External"/><Relationship Id="rId14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22" Type="http://schemas.openxmlformats.org/officeDocument/2006/relationships/hyperlink" Target="consultantplus://offline/ref=6362BE85D73C08BF6F168CE9A96A5872889B3E73EB538F38045321315600B4EF4C91715A3DA2B213C3368F6CD36B6404F191A70CE152FAD7u8a6I" TargetMode="External"/><Relationship Id="rId27" Type="http://schemas.openxmlformats.org/officeDocument/2006/relationships/hyperlink" Target="consultantplus://offline/ref=6362BE85D73C08BF6F168CE9A96A5872889B3E73EB538F38045321315600B4EF4C91715A3DA1BA16CA368F6CD36B6404F191A70CE152FAD7u8a6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7391</Words>
  <Characters>42130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us1</cp:lastModifiedBy>
  <cp:revision>4</cp:revision>
  <cp:lastPrinted>2022-02-09T06:49:00Z</cp:lastPrinted>
  <dcterms:created xsi:type="dcterms:W3CDTF">2022-02-09T06:28:00Z</dcterms:created>
  <dcterms:modified xsi:type="dcterms:W3CDTF">2022-02-09T06:51:00Z</dcterms:modified>
</cp:coreProperties>
</file>